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D311" w14:textId="5FC16DA2" w:rsidR="003516D0" w:rsidRPr="003516D0" w:rsidRDefault="003516D0" w:rsidP="003516D0">
      <w:pPr>
        <w:jc w:val="center"/>
        <w:rPr>
          <w:rFonts w:ascii="Times New Roman" w:eastAsia="Times New Roman" w:hAnsi="Times New Roman" w:cs="Times New Roman"/>
          <w:lang w:eastAsia="en-GB"/>
        </w:rPr>
      </w:pPr>
      <w:r w:rsidRPr="003516D0">
        <w:rPr>
          <w:rFonts w:ascii="Times New Roman" w:eastAsia="Times New Roman" w:hAnsi="Times New Roman" w:cs="Times New Roman"/>
          <w:lang w:eastAsia="en-GB"/>
        </w:rPr>
        <w:fldChar w:fldCharType="begin"/>
      </w:r>
      <w:r w:rsidRPr="003516D0">
        <w:rPr>
          <w:rFonts w:ascii="Times New Roman" w:eastAsia="Times New Roman" w:hAnsi="Times New Roman" w:cs="Times New Roman"/>
          <w:lang w:eastAsia="en-GB"/>
        </w:rPr>
        <w:instrText xml:space="preserve"> INCLUDEPICTURE "https://www.t21rs.org/wp-content/uploads/2020/02/logo-t21rs.png" \* MERGEFORMATINET </w:instrText>
      </w:r>
      <w:r w:rsidRPr="003516D0">
        <w:rPr>
          <w:rFonts w:ascii="Times New Roman" w:eastAsia="Times New Roman" w:hAnsi="Times New Roman" w:cs="Times New Roman"/>
          <w:lang w:eastAsia="en-GB"/>
        </w:rPr>
        <w:fldChar w:fldCharType="separate"/>
      </w:r>
      <w:r w:rsidRPr="003516D0">
        <w:rPr>
          <w:rFonts w:ascii="Times New Roman" w:eastAsia="Times New Roman" w:hAnsi="Times New Roman" w:cs="Times New Roman"/>
          <w:noProof/>
          <w:lang w:eastAsia="en-GB"/>
        </w:rPr>
        <w:drawing>
          <wp:inline distT="0" distB="0" distL="0" distR="0" wp14:anchorId="31CC978D" wp14:editId="4F3FDB00">
            <wp:extent cx="838200" cy="838200"/>
            <wp:effectExtent l="0" t="0" r="0" b="0"/>
            <wp:docPr id="2" name="Picture 2" descr="T21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21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Pr="003516D0">
        <w:rPr>
          <w:rFonts w:ascii="Times New Roman" w:eastAsia="Times New Roman" w:hAnsi="Times New Roman" w:cs="Times New Roman"/>
          <w:lang w:eastAsia="en-GB"/>
        </w:rPr>
        <w:fldChar w:fldCharType="end"/>
      </w:r>
    </w:p>
    <w:p w14:paraId="2F3580AE" w14:textId="77777777" w:rsidR="003516D0" w:rsidRDefault="003516D0" w:rsidP="0089232A">
      <w:pPr>
        <w:spacing w:line="360" w:lineRule="auto"/>
      </w:pPr>
    </w:p>
    <w:p w14:paraId="510FC839" w14:textId="7E9269F7" w:rsidR="003C473A" w:rsidRPr="003516D0" w:rsidRDefault="003516D0" w:rsidP="0089232A">
      <w:pPr>
        <w:spacing w:line="360" w:lineRule="auto"/>
        <w:rPr>
          <w:b/>
          <w:bCs/>
        </w:rPr>
      </w:pPr>
      <w:r>
        <w:rPr>
          <w:b/>
          <w:bCs/>
        </w:rPr>
        <w:t>PRESS RELEASE</w:t>
      </w:r>
      <w:r w:rsidR="00E913A2" w:rsidRPr="003516D0">
        <w:rPr>
          <w:b/>
          <w:bCs/>
        </w:rPr>
        <w:t xml:space="preserve"> </w:t>
      </w:r>
      <w:r w:rsidR="00D82393">
        <w:rPr>
          <w:b/>
          <w:bCs/>
        </w:rPr>
        <w:tab/>
      </w:r>
      <w:r w:rsidR="00D82393">
        <w:rPr>
          <w:b/>
          <w:bCs/>
        </w:rPr>
        <w:tab/>
      </w:r>
      <w:r w:rsidR="00D82393">
        <w:rPr>
          <w:b/>
          <w:bCs/>
        </w:rPr>
        <w:tab/>
      </w:r>
      <w:r w:rsidR="00D82393">
        <w:rPr>
          <w:b/>
          <w:bCs/>
        </w:rPr>
        <w:tab/>
      </w:r>
      <w:r w:rsidR="00D82393">
        <w:rPr>
          <w:b/>
          <w:bCs/>
        </w:rPr>
        <w:tab/>
      </w:r>
      <w:r w:rsidR="00D82393">
        <w:rPr>
          <w:b/>
          <w:bCs/>
        </w:rPr>
        <w:tab/>
      </w:r>
      <w:r w:rsidR="00D82393">
        <w:rPr>
          <w:b/>
          <w:bCs/>
        </w:rPr>
        <w:tab/>
        <w:t>19 December 2021</w:t>
      </w:r>
    </w:p>
    <w:p w14:paraId="5FF40C4A" w14:textId="308861DA" w:rsidR="00E913A2" w:rsidRDefault="00E913A2" w:rsidP="0089232A">
      <w:pPr>
        <w:spacing w:line="360" w:lineRule="auto"/>
      </w:pPr>
    </w:p>
    <w:p w14:paraId="7B1EC268" w14:textId="0C041029" w:rsidR="00E913A2" w:rsidRPr="00E913A2" w:rsidRDefault="00E913A2" w:rsidP="008E10BD">
      <w:pPr>
        <w:spacing w:line="360" w:lineRule="auto"/>
        <w:jc w:val="center"/>
        <w:rPr>
          <w:b/>
          <w:bCs/>
        </w:rPr>
      </w:pPr>
      <w:r w:rsidRPr="00E913A2">
        <w:rPr>
          <w:b/>
          <w:bCs/>
        </w:rPr>
        <w:t>COVID-19 vaccinations are safe to use in people with Down syndrome</w:t>
      </w:r>
    </w:p>
    <w:p w14:paraId="437501D4" w14:textId="77777777" w:rsidR="00E913A2" w:rsidRDefault="00E913A2" w:rsidP="0089232A">
      <w:pPr>
        <w:spacing w:line="360" w:lineRule="auto"/>
        <w:rPr>
          <w:u w:val="single"/>
        </w:rPr>
      </w:pPr>
    </w:p>
    <w:p w14:paraId="12ECA1EE" w14:textId="19599E17" w:rsidR="00E913A2" w:rsidRDefault="00E913A2" w:rsidP="0089232A">
      <w:pPr>
        <w:spacing w:line="360" w:lineRule="auto"/>
        <w:rPr>
          <w:u w:val="single"/>
        </w:rPr>
      </w:pPr>
      <w:r w:rsidRPr="00E913A2">
        <w:rPr>
          <w:u w:val="single"/>
        </w:rPr>
        <w:t>Results from the Trisomy 21 research society survey</w:t>
      </w:r>
      <w:r w:rsidR="006769EF">
        <w:rPr>
          <w:u w:val="single"/>
        </w:rPr>
        <w:t xml:space="preserve"> </w:t>
      </w:r>
      <w:r w:rsidR="006769EF" w:rsidRPr="008E10BD">
        <w:rPr>
          <w:u w:val="single"/>
          <w:vertAlign w:val="superscript"/>
        </w:rPr>
        <w:t>[1]</w:t>
      </w:r>
    </w:p>
    <w:p w14:paraId="023B2E9E" w14:textId="33781B25" w:rsidR="00E913A2" w:rsidRDefault="00E913A2" w:rsidP="0089232A">
      <w:pPr>
        <w:spacing w:line="360" w:lineRule="auto"/>
        <w:rPr>
          <w:u w:val="single"/>
        </w:rPr>
      </w:pPr>
    </w:p>
    <w:p w14:paraId="542D0708" w14:textId="77777777" w:rsidR="002A0851" w:rsidRPr="008E10BD" w:rsidRDefault="00E913A2" w:rsidP="008E10BD">
      <w:pPr>
        <w:rPr>
          <w:sz w:val="28"/>
          <w:szCs w:val="28"/>
        </w:rPr>
      </w:pPr>
      <w:r w:rsidRPr="008E10BD">
        <w:rPr>
          <w:b/>
          <w:sz w:val="28"/>
          <w:szCs w:val="28"/>
        </w:rPr>
        <w:t>Using new data from an ongoing survey of COVID-19 in people with Down syndrome aged 12 and older, the Trisomy 21 research society (T21RS) has shown that vaccines are safe to use in these individuals.</w:t>
      </w:r>
      <w:r w:rsidRPr="008E10BD">
        <w:rPr>
          <w:sz w:val="28"/>
          <w:szCs w:val="28"/>
        </w:rPr>
        <w:t xml:space="preserve"> </w:t>
      </w:r>
    </w:p>
    <w:p w14:paraId="146EA21A" w14:textId="77777777" w:rsidR="002A0851" w:rsidRDefault="002A0851">
      <w:pPr>
        <w:spacing w:line="360" w:lineRule="auto"/>
      </w:pPr>
    </w:p>
    <w:p w14:paraId="623015D4" w14:textId="6E313F97" w:rsidR="00E913A2" w:rsidRDefault="00E913A2" w:rsidP="008E10BD">
      <w:r>
        <w:t>The survey collected information from nearly 2000 individuals with Down syndrome to determine their response to vaccination. Results showed that the majority experienced either no reaction or only mild symptoms such as pain or redness at the injection site, or tiredness. These are common reactions which also occur in the general population</w:t>
      </w:r>
      <w:r w:rsidR="00DA0BCC">
        <w:t xml:space="preserve"> </w:t>
      </w:r>
      <w:r w:rsidR="00DA0BCC" w:rsidRPr="008E10BD">
        <w:rPr>
          <w:vertAlign w:val="superscript"/>
        </w:rPr>
        <w:t>[</w:t>
      </w:r>
      <w:r w:rsidR="006769EF" w:rsidRPr="008E10BD">
        <w:rPr>
          <w:vertAlign w:val="superscript"/>
        </w:rPr>
        <w:t>2</w:t>
      </w:r>
      <w:r w:rsidR="00DA0BCC" w:rsidRPr="008E10BD">
        <w:rPr>
          <w:vertAlign w:val="superscript"/>
        </w:rPr>
        <w:t>]</w:t>
      </w:r>
      <w:r>
        <w:t xml:space="preserve">. In those </w:t>
      </w:r>
      <w:r w:rsidR="002A0851">
        <w:t>who</w:t>
      </w:r>
      <w:r>
        <w:t xml:space="preserve"> experienced symptoms due to vaccination, the vast majority (&gt;95%) resolved by itself and did not require medical care. The vaccines appeared to be safe to use in both young people (12 – 17 years) and adults (18 and older) with Down syndrome. </w:t>
      </w:r>
    </w:p>
    <w:p w14:paraId="615F8972" w14:textId="11B9210F" w:rsidR="00E913A2" w:rsidRDefault="00E913A2" w:rsidP="008E10BD"/>
    <w:p w14:paraId="5DA13E61" w14:textId="16740017" w:rsidR="002A0851" w:rsidRPr="00E000A1" w:rsidRDefault="002A0851" w:rsidP="008E10BD">
      <w:r>
        <w:t xml:space="preserve">The survey also showed that the vaccines help to protect people with Down syndrome from developing severe COVID-19 illness. A small number (14 people; 0.8%) contracted COVID-19 after vaccination and more than half of these infections occurred between the first and second dose of the vaccine (8 people), so before they were considered fully vaccinated. Of the 14, only two </w:t>
      </w:r>
      <w:r w:rsidR="00F653D8">
        <w:t xml:space="preserve">individuals </w:t>
      </w:r>
      <w:r w:rsidR="0089232A">
        <w:t>(</w:t>
      </w:r>
      <w:r w:rsidR="00F653D8">
        <w:t>who both had only one vaccination</w:t>
      </w:r>
      <w:r w:rsidR="0089232A">
        <w:t xml:space="preserve">) </w:t>
      </w:r>
      <w:r>
        <w:t>were admitted to hospital</w:t>
      </w:r>
      <w:r w:rsidR="00F653D8">
        <w:t>. A</w:t>
      </w:r>
      <w:r>
        <w:t xml:space="preserve">ll </w:t>
      </w:r>
      <w:r w:rsidR="00F653D8">
        <w:t xml:space="preserve">of those who contracted COVID-19 after either full or partial vaccination </w:t>
      </w:r>
      <w:r>
        <w:t>recovered.</w:t>
      </w:r>
    </w:p>
    <w:p w14:paraId="0635EBBC" w14:textId="77777777" w:rsidR="002A0851" w:rsidRDefault="002A0851" w:rsidP="008E10BD"/>
    <w:p w14:paraId="7E8AC6CB" w14:textId="2EB590D8" w:rsidR="00E913A2" w:rsidRPr="00E000A1" w:rsidRDefault="002A0851" w:rsidP="008E10BD">
      <w:r w:rsidRPr="002A0851">
        <w:t>It has been well established that p</w:t>
      </w:r>
      <w:r w:rsidR="00E913A2" w:rsidRPr="002A0851">
        <w:t xml:space="preserve">eople with Down syndrome </w:t>
      </w:r>
      <w:r w:rsidRPr="002A0851">
        <w:t xml:space="preserve">have more severe disease when they are infected with SARS-CoV-2, the virus that causes COVID-19. </w:t>
      </w:r>
      <w:r>
        <w:t xml:space="preserve"> </w:t>
      </w:r>
      <w:r w:rsidRPr="002A0851">
        <w:t xml:space="preserve">Such studies have estimated that </w:t>
      </w:r>
      <w:r w:rsidR="00E000A1">
        <w:rPr>
          <w:lang w:val="en-US"/>
        </w:rPr>
        <w:t xml:space="preserve">individuals with DS </w:t>
      </w:r>
      <w:r w:rsidR="00F653D8">
        <w:rPr>
          <w:lang w:val="en-US"/>
        </w:rPr>
        <w:t>have</w:t>
      </w:r>
      <w:r w:rsidR="00E000A1">
        <w:rPr>
          <w:lang w:val="en-US"/>
        </w:rPr>
        <w:t xml:space="preserve"> a 5-fold higher risk for hospitalization, and between 3</w:t>
      </w:r>
      <w:r w:rsidR="00F653D8">
        <w:rPr>
          <w:lang w:val="en-US"/>
        </w:rPr>
        <w:t xml:space="preserve"> to 10</w:t>
      </w:r>
      <w:r w:rsidR="00E000A1">
        <w:rPr>
          <w:lang w:val="en-US"/>
        </w:rPr>
        <w:t>-fold higher risk for death when they develop COVID</w:t>
      </w:r>
      <w:r w:rsidR="00F653D8">
        <w:rPr>
          <w:lang w:val="en-US"/>
        </w:rPr>
        <w:t>-</w:t>
      </w:r>
      <w:r w:rsidR="00E000A1">
        <w:rPr>
          <w:lang w:val="en-US"/>
        </w:rPr>
        <w:t>19, with higher risk of death among elderly individuals with DS</w:t>
      </w:r>
      <w:r w:rsidR="00E000A1">
        <w:t xml:space="preserve"> </w:t>
      </w:r>
      <w:r w:rsidR="006769EF" w:rsidRPr="008E10BD">
        <w:rPr>
          <w:vertAlign w:val="superscript"/>
        </w:rPr>
        <w:t>[3]</w:t>
      </w:r>
      <w:r w:rsidR="00E000A1">
        <w:t xml:space="preserve">. </w:t>
      </w:r>
      <w:r w:rsidR="00E913A2">
        <w:t>In many countries, having Down syndrome has been designated as a priority condition for vaccination</w:t>
      </w:r>
      <w:r>
        <w:t xml:space="preserve">. These new data show that the vaccine appears to be safe and effective in people with Down </w:t>
      </w:r>
      <w:r w:rsidR="008E10BD">
        <w:t>syndrome and</w:t>
      </w:r>
      <w:r w:rsidR="0089232A">
        <w:t xml:space="preserve"> </w:t>
      </w:r>
      <w:r w:rsidR="00F653D8">
        <w:t>provide evidence</w:t>
      </w:r>
      <w:r w:rsidR="0089232A">
        <w:t xml:space="preserve"> </w:t>
      </w:r>
      <w:r w:rsidR="00665387">
        <w:t>that vaccination</w:t>
      </w:r>
      <w:r w:rsidR="0089232A">
        <w:t xml:space="preserve"> </w:t>
      </w:r>
      <w:r>
        <w:t xml:space="preserve">will help protect them </w:t>
      </w:r>
      <w:r w:rsidR="008E10BD">
        <w:t>from becoming</w:t>
      </w:r>
      <w:r w:rsidR="0089232A">
        <w:t xml:space="preserve"> severely </w:t>
      </w:r>
      <w:r w:rsidR="008E10BD">
        <w:t>ill with</w:t>
      </w:r>
      <w:r>
        <w:t xml:space="preserve"> COVID-19.</w:t>
      </w:r>
      <w:r w:rsidR="006769EF">
        <w:t xml:space="preserve"> The Trisomy 21 research society </w:t>
      </w:r>
      <w:r w:rsidR="00635CDF">
        <w:t xml:space="preserve">strongly </w:t>
      </w:r>
      <w:r w:rsidR="006769EF">
        <w:t>support</w:t>
      </w:r>
      <w:r w:rsidR="00635CDF">
        <w:t>s</w:t>
      </w:r>
      <w:r w:rsidR="006769EF">
        <w:t xml:space="preserve"> vaccination prioritization</w:t>
      </w:r>
      <w:r w:rsidR="00635CDF">
        <w:t xml:space="preserve"> </w:t>
      </w:r>
      <w:r w:rsidR="006769EF">
        <w:t>and booster vaccination</w:t>
      </w:r>
      <w:r w:rsidR="00635CDF">
        <w:t xml:space="preserve"> </w:t>
      </w:r>
      <w:r w:rsidR="006769EF">
        <w:t xml:space="preserve">of people with Down syndrome </w:t>
      </w:r>
      <w:r w:rsidR="006769EF" w:rsidRPr="008E10BD">
        <w:rPr>
          <w:vertAlign w:val="superscript"/>
        </w:rPr>
        <w:t>[1]</w:t>
      </w:r>
      <w:r w:rsidR="006769EF">
        <w:t xml:space="preserve">. </w:t>
      </w:r>
    </w:p>
    <w:p w14:paraId="311FCD37" w14:textId="2C1087E8" w:rsidR="00E913A2" w:rsidRDefault="00E913A2" w:rsidP="008E10BD"/>
    <w:p w14:paraId="113A895B" w14:textId="2919A465" w:rsidR="00E913A2" w:rsidRDefault="00E913A2" w:rsidP="008E10BD">
      <w:pPr>
        <w:rPr>
          <w:u w:val="single"/>
        </w:rPr>
      </w:pPr>
      <w:r w:rsidRPr="00E913A2">
        <w:rPr>
          <w:u w:val="single"/>
        </w:rPr>
        <w:t xml:space="preserve">More information on the </w:t>
      </w:r>
      <w:r>
        <w:rPr>
          <w:u w:val="single"/>
        </w:rPr>
        <w:t xml:space="preserve">T21RS </w:t>
      </w:r>
      <w:r w:rsidRPr="00E913A2">
        <w:rPr>
          <w:u w:val="single"/>
        </w:rPr>
        <w:t xml:space="preserve">survey: </w:t>
      </w:r>
    </w:p>
    <w:p w14:paraId="57C4710F" w14:textId="77777777" w:rsidR="00635CDF" w:rsidRPr="00E913A2" w:rsidRDefault="00635CDF" w:rsidP="008E10BD">
      <w:pPr>
        <w:rPr>
          <w:u w:val="single"/>
        </w:rPr>
      </w:pPr>
    </w:p>
    <w:p w14:paraId="510718D2" w14:textId="77777777" w:rsidR="0024596C" w:rsidRDefault="00E913A2" w:rsidP="008E10BD">
      <w:r>
        <w:t xml:space="preserve">Surveys were completed online by families or clinicians of people with Down syndrome from North America, Europe, India and other countries. At the time of analysis, </w:t>
      </w:r>
      <w:r w:rsidRPr="00E913A2">
        <w:t>1708 (90.1%) have had at least 1 dose</w:t>
      </w:r>
      <w:r>
        <w:t xml:space="preserve"> and </w:t>
      </w:r>
      <w:r w:rsidRPr="00E913A2">
        <w:t>1482 (86.7%) have had a second dose</w:t>
      </w:r>
      <w:r>
        <w:t xml:space="preserve">, while </w:t>
      </w:r>
      <w:r w:rsidRPr="00E913A2">
        <w:t xml:space="preserve">187 </w:t>
      </w:r>
      <w:r w:rsidRPr="00E913A2">
        <w:lastRenderedPageBreak/>
        <w:t xml:space="preserve">(9.8%) </w:t>
      </w:r>
      <w:r>
        <w:t xml:space="preserve">of respondents </w:t>
      </w:r>
      <w:r w:rsidRPr="00E913A2">
        <w:t>have not received the vaccine</w:t>
      </w:r>
      <w:r>
        <w:t xml:space="preserve"> yet. The respondents had been given a range of vaccines, including Pfizer, Moderna, Oxford-AstraZeneca/</w:t>
      </w:r>
      <w:proofErr w:type="spellStart"/>
      <w:r>
        <w:t>Covishield</w:t>
      </w:r>
      <w:proofErr w:type="spellEnd"/>
      <w:r>
        <w:t xml:space="preserve"> and other COVID vaccines. </w:t>
      </w:r>
    </w:p>
    <w:p w14:paraId="5025F6BB" w14:textId="77777777" w:rsidR="0024596C" w:rsidRDefault="0024596C" w:rsidP="008E10BD"/>
    <w:p w14:paraId="3030CFA3" w14:textId="1850003E" w:rsidR="00E913A2" w:rsidRDefault="00E913A2" w:rsidP="008E10BD">
      <w:r>
        <w:t xml:space="preserve">Details of the </w:t>
      </w:r>
      <w:r w:rsidR="00F653D8">
        <w:t>T21RS survey</w:t>
      </w:r>
      <w:r>
        <w:t xml:space="preserve"> </w:t>
      </w:r>
      <w:r w:rsidR="00F653D8">
        <w:t xml:space="preserve">is </w:t>
      </w:r>
      <w:r>
        <w:t>available here (</w:t>
      </w:r>
      <w:hyperlink r:id="rId9" w:history="1">
        <w:r w:rsidR="00F653D8" w:rsidRPr="00D659CE">
          <w:rPr>
            <w:rStyle w:val="Hyperlink"/>
          </w:rPr>
          <w:t>https://www.t21rs.org/covid-19/covid-19-initiatives/</w:t>
        </w:r>
      </w:hyperlink>
      <w:r>
        <w:t>)</w:t>
      </w:r>
      <w:r w:rsidR="00F653D8">
        <w:t>, and the results are summarised here (</w:t>
      </w:r>
      <w:hyperlink r:id="rId10" w:history="1">
        <w:r w:rsidR="00F653D8" w:rsidRPr="00D659CE">
          <w:rPr>
            <w:rStyle w:val="Hyperlink"/>
          </w:rPr>
          <w:t>https://www.t21rs.org/results-from-covid-19-and-down-syndrome-survey/</w:t>
        </w:r>
      </w:hyperlink>
      <w:r w:rsidR="00F653D8">
        <w:t xml:space="preserve"> ). </w:t>
      </w:r>
    </w:p>
    <w:p w14:paraId="21853B1D" w14:textId="0F39940A" w:rsidR="00E913A2" w:rsidRDefault="00E913A2" w:rsidP="008E10BD"/>
    <w:p w14:paraId="6A941DF6" w14:textId="55F4BD93" w:rsidR="00E913A2" w:rsidRPr="00635CDF" w:rsidRDefault="00E913A2" w:rsidP="008E10BD">
      <w:pPr>
        <w:rPr>
          <w:u w:val="single"/>
        </w:rPr>
      </w:pPr>
      <w:r w:rsidRPr="00E913A2">
        <w:rPr>
          <w:u w:val="single"/>
        </w:rPr>
        <w:t>Additional information:</w:t>
      </w:r>
    </w:p>
    <w:p w14:paraId="78F3E5A8" w14:textId="51393274" w:rsidR="00E913A2" w:rsidRDefault="00E913A2" w:rsidP="008E10BD"/>
    <w:p w14:paraId="33A7557D" w14:textId="275F8040" w:rsidR="00635CDF" w:rsidRDefault="00DA0BCC" w:rsidP="008E10BD">
      <w:r>
        <w:t xml:space="preserve">[1] </w:t>
      </w:r>
      <w:r w:rsidR="006769EF">
        <w:t xml:space="preserve">For the Trisomy 21 Research society COVID-19 </w:t>
      </w:r>
      <w:r w:rsidR="00635CDF">
        <w:t xml:space="preserve">survey and </w:t>
      </w:r>
      <w:r w:rsidR="006769EF">
        <w:t>statements on vaccination of people with Down syndrome:</w:t>
      </w:r>
    </w:p>
    <w:p w14:paraId="4A54675E" w14:textId="77777777" w:rsidR="00635CDF" w:rsidRDefault="0024596C" w:rsidP="008E10BD">
      <w:hyperlink r:id="rId11" w:history="1">
        <w:r w:rsidR="00635CDF" w:rsidRPr="00D659CE">
          <w:rPr>
            <w:rStyle w:val="Hyperlink"/>
          </w:rPr>
          <w:t>https://www.t21rs.org/results-from-covid-19-and-down-syndrome-survey/</w:t>
        </w:r>
      </w:hyperlink>
    </w:p>
    <w:p w14:paraId="67EFD6D3" w14:textId="07B0EC14" w:rsidR="00635CDF" w:rsidRDefault="0024596C" w:rsidP="008E10BD">
      <w:hyperlink r:id="rId12" w:history="1">
        <w:r w:rsidR="00635CDF" w:rsidRPr="00D659CE">
          <w:rPr>
            <w:rStyle w:val="Hyperlink"/>
          </w:rPr>
          <w:t>https://www.t21rs.org/covid_vaccination/</w:t>
        </w:r>
      </w:hyperlink>
    </w:p>
    <w:p w14:paraId="6A2A514C" w14:textId="77777777" w:rsidR="006769EF" w:rsidRDefault="006769EF" w:rsidP="008E10BD"/>
    <w:p w14:paraId="1A515ABE" w14:textId="3C9C2F42" w:rsidR="00DA0BCC" w:rsidRDefault="006769EF" w:rsidP="008E10BD">
      <w:r>
        <w:t xml:space="preserve">[2] </w:t>
      </w:r>
      <w:r w:rsidR="00DA0BCC">
        <w:t xml:space="preserve">For symptoms in the general population: </w:t>
      </w:r>
      <w:hyperlink r:id="rId13" w:history="1">
        <w:r w:rsidR="00DA0BCC" w:rsidRPr="00841E2C">
          <w:rPr>
            <w:rStyle w:val="Hyperlink"/>
          </w:rPr>
          <w:t>https://www.cdc.gov/coronavirus/2019-ncov/vaccines/expect/after.html</w:t>
        </w:r>
      </w:hyperlink>
      <w:r w:rsidR="00DA0BCC">
        <w:t>)</w:t>
      </w:r>
    </w:p>
    <w:p w14:paraId="6AD12032" w14:textId="73CD0ACF" w:rsidR="00F653D8" w:rsidRDefault="00F653D8" w:rsidP="008E10BD"/>
    <w:p w14:paraId="1C248FBA" w14:textId="1C749CAF" w:rsidR="00F653D8" w:rsidRDefault="00F653D8" w:rsidP="008E10BD">
      <w:r>
        <w:t>[</w:t>
      </w:r>
      <w:r w:rsidR="006769EF">
        <w:t>3</w:t>
      </w:r>
      <w:r>
        <w:t>]</w:t>
      </w:r>
      <w:r w:rsidR="006769EF">
        <w:t xml:space="preserve"> For studies on the risk associated with having COVID-19 in people with Down syndrome - </w:t>
      </w:r>
    </w:p>
    <w:p w14:paraId="76B1A581" w14:textId="502B6FEE" w:rsidR="00635CDF" w:rsidRDefault="0024596C" w:rsidP="008E10BD">
      <w:hyperlink r:id="rId14" w:history="1">
        <w:r w:rsidR="00635CDF" w:rsidRPr="00D659CE">
          <w:rPr>
            <w:rStyle w:val="Hyperlink"/>
          </w:rPr>
          <w:t>https://link.springer.com/article/10.1007%2Fs12017-021-08651-5</w:t>
        </w:r>
      </w:hyperlink>
      <w:r w:rsidR="00635CDF">
        <w:t xml:space="preserve"> </w:t>
      </w:r>
    </w:p>
    <w:p w14:paraId="2D71DA99" w14:textId="62FB9E5E" w:rsidR="00635CDF" w:rsidRDefault="0024596C" w:rsidP="008E10BD">
      <w:hyperlink r:id="rId15" w:history="1">
        <w:r w:rsidR="00635CDF" w:rsidRPr="00D659CE">
          <w:rPr>
            <w:rStyle w:val="Hyperlink"/>
          </w:rPr>
          <w:t>https://www.thelancet.com/journals/eclinm/article/PIIS2589-5370(21)00049-3/fulltext</w:t>
        </w:r>
      </w:hyperlink>
      <w:r w:rsidR="00635CDF">
        <w:t xml:space="preserve"> </w:t>
      </w:r>
    </w:p>
    <w:p w14:paraId="4BAAB462" w14:textId="211F7DD7" w:rsidR="00635CDF" w:rsidRDefault="0024596C" w:rsidP="008E10BD">
      <w:hyperlink r:id="rId16" w:history="1">
        <w:r w:rsidR="00635CDF" w:rsidRPr="00D659CE">
          <w:rPr>
            <w:rStyle w:val="Hyperlink"/>
          </w:rPr>
          <w:t>https://www.mdpi.com/2077-0383/10/21/5125</w:t>
        </w:r>
      </w:hyperlink>
      <w:r w:rsidR="00635CDF">
        <w:t xml:space="preserve"> </w:t>
      </w:r>
    </w:p>
    <w:p w14:paraId="446BB03A" w14:textId="21F09E0D" w:rsidR="00635CDF" w:rsidRDefault="0024596C" w:rsidP="008E10BD">
      <w:hyperlink r:id="rId17" w:history="1">
        <w:r w:rsidR="00635CDF" w:rsidRPr="00D659CE">
          <w:rPr>
            <w:rStyle w:val="Hyperlink"/>
          </w:rPr>
          <w:t>https://www.frontiersin.org/articles/10.3389/fimmu.2021.621440/full</w:t>
        </w:r>
      </w:hyperlink>
      <w:r w:rsidR="00635CDF">
        <w:t xml:space="preserve"> </w:t>
      </w:r>
    </w:p>
    <w:p w14:paraId="7C835D7D" w14:textId="1B00C9F8" w:rsidR="00F653D8" w:rsidRDefault="0024596C" w:rsidP="008E10BD">
      <w:hyperlink r:id="rId18" w:history="1">
        <w:r w:rsidR="00635CDF" w:rsidRPr="00D659CE">
          <w:rPr>
            <w:rStyle w:val="Hyperlink"/>
          </w:rPr>
          <w:t>https://www.ncbi.nlm.nih.gov/pmc/articles/PMC7592804/</w:t>
        </w:r>
      </w:hyperlink>
    </w:p>
    <w:p w14:paraId="5E19F1EF" w14:textId="14CB4A79" w:rsidR="00F653D8" w:rsidRDefault="00F653D8" w:rsidP="0089232A">
      <w:pPr>
        <w:spacing w:line="360" w:lineRule="auto"/>
      </w:pPr>
    </w:p>
    <w:sectPr w:rsidR="00F653D8" w:rsidSect="008E10BD">
      <w:pgSz w:w="11900" w:h="16840"/>
      <w:pgMar w:top="4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0A5"/>
    <w:multiLevelType w:val="multilevel"/>
    <w:tmpl w:val="C374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D7846"/>
    <w:multiLevelType w:val="multilevel"/>
    <w:tmpl w:val="AEB0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CB07FF"/>
    <w:multiLevelType w:val="multilevel"/>
    <w:tmpl w:val="CD86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A2"/>
    <w:rsid w:val="00077C8B"/>
    <w:rsid w:val="0024596C"/>
    <w:rsid w:val="002A0851"/>
    <w:rsid w:val="003516D0"/>
    <w:rsid w:val="00367EB2"/>
    <w:rsid w:val="003940AD"/>
    <w:rsid w:val="00635CDF"/>
    <w:rsid w:val="00665387"/>
    <w:rsid w:val="006769EF"/>
    <w:rsid w:val="00777A8E"/>
    <w:rsid w:val="0089232A"/>
    <w:rsid w:val="008E10BD"/>
    <w:rsid w:val="00D6575D"/>
    <w:rsid w:val="00D82393"/>
    <w:rsid w:val="00DA0BCC"/>
    <w:rsid w:val="00DF4781"/>
    <w:rsid w:val="00E000A1"/>
    <w:rsid w:val="00E913A2"/>
    <w:rsid w:val="00F653D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F9DD"/>
  <w15:chartTrackingRefBased/>
  <w15:docId w15:val="{515A5B0A-38E9-8E4C-9138-4EC68FB3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BCC"/>
    <w:rPr>
      <w:color w:val="0563C1" w:themeColor="hyperlink"/>
      <w:u w:val="single"/>
    </w:rPr>
  </w:style>
  <w:style w:type="character" w:styleId="UnresolvedMention">
    <w:name w:val="Unresolved Mention"/>
    <w:basedOn w:val="DefaultParagraphFont"/>
    <w:uiPriority w:val="99"/>
    <w:semiHidden/>
    <w:unhideWhenUsed/>
    <w:rsid w:val="00DA0BCC"/>
    <w:rPr>
      <w:color w:val="605E5C"/>
      <w:shd w:val="clear" w:color="auto" w:fill="E1DFDD"/>
    </w:rPr>
  </w:style>
  <w:style w:type="table" w:styleId="TableGrid">
    <w:name w:val="Table Grid"/>
    <w:basedOn w:val="TableNormal"/>
    <w:uiPriority w:val="39"/>
    <w:rsid w:val="00E000A1"/>
    <w:rPr>
      <w:sz w:val="22"/>
      <w:szCs w:val="22"/>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00A1"/>
  </w:style>
  <w:style w:type="paragraph" w:styleId="BalloonText">
    <w:name w:val="Balloon Text"/>
    <w:basedOn w:val="Normal"/>
    <w:link w:val="BalloonTextChar"/>
    <w:uiPriority w:val="99"/>
    <w:semiHidden/>
    <w:unhideWhenUsed/>
    <w:rsid w:val="00394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0AD"/>
    <w:rPr>
      <w:rFonts w:ascii="Segoe UI" w:hAnsi="Segoe UI" w:cs="Segoe UI"/>
      <w:sz w:val="18"/>
      <w:szCs w:val="18"/>
    </w:rPr>
  </w:style>
  <w:style w:type="character" w:styleId="CommentReference">
    <w:name w:val="annotation reference"/>
    <w:basedOn w:val="DefaultParagraphFont"/>
    <w:uiPriority w:val="99"/>
    <w:semiHidden/>
    <w:unhideWhenUsed/>
    <w:rsid w:val="002A0851"/>
    <w:rPr>
      <w:sz w:val="16"/>
      <w:szCs w:val="16"/>
    </w:rPr>
  </w:style>
  <w:style w:type="paragraph" w:styleId="CommentText">
    <w:name w:val="annotation text"/>
    <w:basedOn w:val="Normal"/>
    <w:link w:val="CommentTextChar"/>
    <w:uiPriority w:val="99"/>
    <w:unhideWhenUsed/>
    <w:rsid w:val="002A0851"/>
    <w:rPr>
      <w:sz w:val="20"/>
      <w:szCs w:val="20"/>
    </w:rPr>
  </w:style>
  <w:style w:type="character" w:customStyle="1" w:styleId="CommentTextChar">
    <w:name w:val="Comment Text Char"/>
    <w:basedOn w:val="DefaultParagraphFont"/>
    <w:link w:val="CommentText"/>
    <w:uiPriority w:val="99"/>
    <w:rsid w:val="002A0851"/>
    <w:rPr>
      <w:sz w:val="20"/>
      <w:szCs w:val="20"/>
    </w:rPr>
  </w:style>
  <w:style w:type="paragraph" w:styleId="CommentSubject">
    <w:name w:val="annotation subject"/>
    <w:basedOn w:val="CommentText"/>
    <w:next w:val="CommentText"/>
    <w:link w:val="CommentSubjectChar"/>
    <w:uiPriority w:val="99"/>
    <w:semiHidden/>
    <w:unhideWhenUsed/>
    <w:rsid w:val="002A0851"/>
    <w:rPr>
      <w:b/>
      <w:bCs/>
    </w:rPr>
  </w:style>
  <w:style w:type="character" w:customStyle="1" w:styleId="CommentSubjectChar">
    <w:name w:val="Comment Subject Char"/>
    <w:basedOn w:val="CommentTextChar"/>
    <w:link w:val="CommentSubject"/>
    <w:uiPriority w:val="99"/>
    <w:semiHidden/>
    <w:rsid w:val="002A0851"/>
    <w:rPr>
      <w:b/>
      <w:bCs/>
      <w:sz w:val="20"/>
      <w:szCs w:val="20"/>
    </w:rPr>
  </w:style>
  <w:style w:type="character" w:styleId="FollowedHyperlink">
    <w:name w:val="FollowedHyperlink"/>
    <w:basedOn w:val="DefaultParagraphFont"/>
    <w:uiPriority w:val="99"/>
    <w:semiHidden/>
    <w:unhideWhenUsed/>
    <w:rsid w:val="006769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3268">
      <w:bodyDiv w:val="1"/>
      <w:marLeft w:val="0"/>
      <w:marRight w:val="0"/>
      <w:marTop w:val="0"/>
      <w:marBottom w:val="0"/>
      <w:divBdr>
        <w:top w:val="none" w:sz="0" w:space="0" w:color="auto"/>
        <w:left w:val="none" w:sz="0" w:space="0" w:color="auto"/>
        <w:bottom w:val="none" w:sz="0" w:space="0" w:color="auto"/>
        <w:right w:val="none" w:sz="0" w:space="0" w:color="auto"/>
      </w:divBdr>
    </w:div>
    <w:div w:id="275405664">
      <w:bodyDiv w:val="1"/>
      <w:marLeft w:val="0"/>
      <w:marRight w:val="0"/>
      <w:marTop w:val="0"/>
      <w:marBottom w:val="0"/>
      <w:divBdr>
        <w:top w:val="none" w:sz="0" w:space="0" w:color="auto"/>
        <w:left w:val="none" w:sz="0" w:space="0" w:color="auto"/>
        <w:bottom w:val="none" w:sz="0" w:space="0" w:color="auto"/>
        <w:right w:val="none" w:sz="0" w:space="0" w:color="auto"/>
      </w:divBdr>
    </w:div>
    <w:div w:id="636228370">
      <w:bodyDiv w:val="1"/>
      <w:marLeft w:val="0"/>
      <w:marRight w:val="0"/>
      <w:marTop w:val="0"/>
      <w:marBottom w:val="0"/>
      <w:divBdr>
        <w:top w:val="none" w:sz="0" w:space="0" w:color="auto"/>
        <w:left w:val="none" w:sz="0" w:space="0" w:color="auto"/>
        <w:bottom w:val="none" w:sz="0" w:space="0" w:color="auto"/>
        <w:right w:val="none" w:sz="0" w:space="0" w:color="auto"/>
      </w:divBdr>
    </w:div>
    <w:div w:id="676230883">
      <w:bodyDiv w:val="1"/>
      <w:marLeft w:val="0"/>
      <w:marRight w:val="0"/>
      <w:marTop w:val="0"/>
      <w:marBottom w:val="0"/>
      <w:divBdr>
        <w:top w:val="none" w:sz="0" w:space="0" w:color="auto"/>
        <w:left w:val="none" w:sz="0" w:space="0" w:color="auto"/>
        <w:bottom w:val="none" w:sz="0" w:space="0" w:color="auto"/>
        <w:right w:val="none" w:sz="0" w:space="0" w:color="auto"/>
      </w:divBdr>
    </w:div>
    <w:div w:id="1011106361">
      <w:bodyDiv w:val="1"/>
      <w:marLeft w:val="0"/>
      <w:marRight w:val="0"/>
      <w:marTop w:val="0"/>
      <w:marBottom w:val="0"/>
      <w:divBdr>
        <w:top w:val="none" w:sz="0" w:space="0" w:color="auto"/>
        <w:left w:val="none" w:sz="0" w:space="0" w:color="auto"/>
        <w:bottom w:val="none" w:sz="0" w:space="0" w:color="auto"/>
        <w:right w:val="none" w:sz="0" w:space="0" w:color="auto"/>
      </w:divBdr>
    </w:div>
    <w:div w:id="1109816934">
      <w:bodyDiv w:val="1"/>
      <w:marLeft w:val="0"/>
      <w:marRight w:val="0"/>
      <w:marTop w:val="0"/>
      <w:marBottom w:val="0"/>
      <w:divBdr>
        <w:top w:val="none" w:sz="0" w:space="0" w:color="auto"/>
        <w:left w:val="none" w:sz="0" w:space="0" w:color="auto"/>
        <w:bottom w:val="none" w:sz="0" w:space="0" w:color="auto"/>
        <w:right w:val="none" w:sz="0" w:space="0" w:color="auto"/>
      </w:divBdr>
    </w:div>
    <w:div w:id="182893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vaccines/expect/after.html" TargetMode="External"/><Relationship Id="rId18" Type="http://schemas.openxmlformats.org/officeDocument/2006/relationships/hyperlink" Target="https://www.ncbi.nlm.nih.gov/pmc/articles/PMC759280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21rs.org/covid_vaccination/" TargetMode="External"/><Relationship Id="rId17" Type="http://schemas.openxmlformats.org/officeDocument/2006/relationships/hyperlink" Target="https://www.frontiersin.org/articles/10.3389/fimmu.2021.621440/full" TargetMode="External"/><Relationship Id="rId2" Type="http://schemas.openxmlformats.org/officeDocument/2006/relationships/customXml" Target="../customXml/item2.xml"/><Relationship Id="rId16" Type="http://schemas.openxmlformats.org/officeDocument/2006/relationships/hyperlink" Target="https://www.mdpi.com/2077-0383/10/21/51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21rs.org/results-from-covid-19-and-down-syndrome-survey/" TargetMode="External"/><Relationship Id="rId5" Type="http://schemas.openxmlformats.org/officeDocument/2006/relationships/styles" Target="styles.xml"/><Relationship Id="rId15" Type="http://schemas.openxmlformats.org/officeDocument/2006/relationships/hyperlink" Target="https://www.thelancet.com/journals/eclinm/article/PIIS2589-5370(21)00049-3/fulltext" TargetMode="External"/><Relationship Id="rId10" Type="http://schemas.openxmlformats.org/officeDocument/2006/relationships/hyperlink" Target="https://www.t21rs.org/results-from-covid-19-and-down-syndrome-surve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21rs.org/covid-19/covid-19-initiatives/" TargetMode="External"/><Relationship Id="rId14" Type="http://schemas.openxmlformats.org/officeDocument/2006/relationships/hyperlink" Target="https://link.springer.com/article/10.1007%2Fs12017-021-086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1141F1BCE94D40836E7ED47EDA8151" ma:contentTypeVersion="14" ma:contentTypeDescription="Create a new document." ma:contentTypeScope="" ma:versionID="6ca4b5d967cbf3596aa9247d0c897a99">
  <xsd:schema xmlns:xsd="http://www.w3.org/2001/XMLSchema" xmlns:xs="http://www.w3.org/2001/XMLSchema" xmlns:p="http://schemas.microsoft.com/office/2006/metadata/properties" xmlns:ns3="225ff08f-ddf2-4106-b9f7-47218ff89398" xmlns:ns4="0edbfc73-255b-43dd-af2d-6fd3ba148afc" targetNamespace="http://schemas.microsoft.com/office/2006/metadata/properties" ma:root="true" ma:fieldsID="27cb724734c4424ac942f4f6eadc74f2" ns3:_="" ns4:_="">
    <xsd:import namespace="225ff08f-ddf2-4106-b9f7-47218ff89398"/>
    <xsd:import namespace="0edbfc73-255b-43dd-af2d-6fd3ba148a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ff08f-ddf2-4106-b9f7-47218ff893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dbfc73-255b-43dd-af2d-6fd3ba148a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9FF78-B736-443D-A035-E4703853432B}">
  <ds:schemaRefs>
    <ds:schemaRef ds:uri="http://schemas.microsoft.com/sharepoint/v3/contenttype/forms"/>
  </ds:schemaRefs>
</ds:datastoreItem>
</file>

<file path=customXml/itemProps2.xml><?xml version="1.0" encoding="utf-8"?>
<ds:datastoreItem xmlns:ds="http://schemas.openxmlformats.org/officeDocument/2006/customXml" ds:itemID="{79153B20-F11E-4720-86AF-23CD6F05DD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7AE079-30A3-441F-BBD8-82166B3D8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ff08f-ddf2-4106-b9f7-47218ff89398"/>
    <ds:schemaRef ds:uri="0edbfc73-255b-43dd-af2d-6fd3ba148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Strydom, Andre</dc:creator>
  <cp:keywords/>
  <dc:description/>
  <cp:lastModifiedBy>Matthew Janicki</cp:lastModifiedBy>
  <cp:revision>3</cp:revision>
  <dcterms:created xsi:type="dcterms:W3CDTF">2021-12-20T00:23:00Z</dcterms:created>
  <dcterms:modified xsi:type="dcterms:W3CDTF">2021-12-20T00:23:00Z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0x010100FF1141F1BCE94D40836E7ED47EDA8151</vt:lpwstr>
  </property>
</Properties>
</file>